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FF6" w:rsidRPr="00A81FF6" w:rsidRDefault="00A81FF6" w:rsidP="00A81FF6">
      <w:pPr>
        <w:spacing w:before="374" w:after="94" w:line="240" w:lineRule="auto"/>
        <w:outlineLvl w:val="0"/>
        <w:rPr>
          <w:rFonts w:ascii="Arial" w:eastAsia="Times New Roman" w:hAnsi="Arial" w:cs="Arial"/>
          <w:b/>
          <w:bCs/>
          <w:color w:val="222222"/>
          <w:spacing w:val="-9"/>
          <w:kern w:val="36"/>
          <w:sz w:val="37"/>
          <w:szCs w:val="37"/>
          <w:lang w:eastAsia="ru-RU"/>
        </w:rPr>
      </w:pPr>
      <w:r w:rsidRPr="00A81FF6">
        <w:rPr>
          <w:rFonts w:ascii="Arial" w:eastAsia="Times New Roman" w:hAnsi="Arial" w:cs="Arial"/>
          <w:b/>
          <w:bCs/>
          <w:color w:val="222222"/>
          <w:spacing w:val="-9"/>
          <w:kern w:val="36"/>
          <w:sz w:val="37"/>
          <w:szCs w:val="37"/>
          <w:lang w:eastAsia="ru-RU"/>
        </w:rPr>
        <w:t>Постановление</w:t>
      </w:r>
    </w:p>
    <w:p w:rsidR="00A81FF6" w:rsidRPr="00A81FF6" w:rsidRDefault="00A81FF6" w:rsidP="00A81FF6">
      <w:pPr>
        <w:spacing w:before="94" w:after="187" w:line="240" w:lineRule="auto"/>
        <w:outlineLvl w:val="1"/>
        <w:rPr>
          <w:rFonts w:ascii="Arial" w:eastAsia="Times New Roman" w:hAnsi="Arial" w:cs="Arial"/>
          <w:color w:val="222222"/>
          <w:spacing w:val="-4"/>
          <w:sz w:val="17"/>
          <w:szCs w:val="17"/>
          <w:lang w:eastAsia="ru-RU"/>
        </w:rPr>
      </w:pPr>
      <w:r w:rsidRPr="00A81FF6">
        <w:rPr>
          <w:rFonts w:ascii="Arial" w:eastAsia="Times New Roman" w:hAnsi="Arial" w:cs="Arial"/>
          <w:color w:val="222222"/>
          <w:spacing w:val="-4"/>
          <w:sz w:val="17"/>
          <w:lang w:eastAsia="ru-RU"/>
        </w:rPr>
        <w:t>Об утверждении санитарн</w:t>
      </w:r>
      <w:proofErr w:type="gramStart"/>
      <w:r w:rsidRPr="00A81FF6">
        <w:rPr>
          <w:rFonts w:ascii="Arial" w:eastAsia="Times New Roman" w:hAnsi="Arial" w:cs="Arial"/>
          <w:color w:val="222222"/>
          <w:spacing w:val="-4"/>
          <w:sz w:val="17"/>
          <w:lang w:eastAsia="ru-RU"/>
        </w:rPr>
        <w:t>о-</w:t>
      </w:r>
      <w:proofErr w:type="gramEnd"/>
      <w:r w:rsidRPr="00A81FF6">
        <w:rPr>
          <w:rFonts w:ascii="Arial" w:eastAsia="Times New Roman" w:hAnsi="Arial" w:cs="Arial"/>
          <w:color w:val="222222"/>
          <w:spacing w:val="-4"/>
          <w:sz w:val="17"/>
          <w:lang w:eastAsia="ru-RU"/>
        </w:rPr>
        <w:t xml:space="preserve"> 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81FF6">
        <w:rPr>
          <w:rFonts w:ascii="Arial" w:eastAsia="Times New Roman" w:hAnsi="Arial" w:cs="Arial"/>
          <w:color w:val="222222"/>
          <w:spacing w:val="-4"/>
          <w:sz w:val="17"/>
          <w:lang w:eastAsia="ru-RU"/>
        </w:rPr>
        <w:t>коронавирусной</w:t>
      </w:r>
      <w:proofErr w:type="spellEnd"/>
      <w:r w:rsidRPr="00A81FF6">
        <w:rPr>
          <w:rFonts w:ascii="Arial" w:eastAsia="Times New Roman" w:hAnsi="Arial" w:cs="Arial"/>
          <w:color w:val="222222"/>
          <w:spacing w:val="-4"/>
          <w:sz w:val="17"/>
          <w:lang w:eastAsia="ru-RU"/>
        </w:rPr>
        <w:t xml:space="preserve"> инфекции (COVID-19)"</w:t>
      </w:r>
    </w:p>
    <w:p w:rsidR="00A81FF6" w:rsidRPr="00A81FF6" w:rsidRDefault="00A81FF6" w:rsidP="00A81FF6">
      <w:pPr>
        <w:spacing w:after="94" w:line="240" w:lineRule="auto"/>
        <w:jc w:val="center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b/>
          <w:bCs/>
          <w:color w:val="222222"/>
          <w:sz w:val="13"/>
          <w:lang w:eastAsia="ru-RU"/>
        </w:rPr>
        <w:t>ГЛАВНЫЙ ГОСУДАРСТВЕННЫЙ САНИТАРНЫЙ ВРАЧ РФ</w:t>
      </w:r>
    </w:p>
    <w:p w:rsidR="00A81FF6" w:rsidRPr="00A81FF6" w:rsidRDefault="00A81FF6" w:rsidP="00A81FF6">
      <w:pPr>
        <w:spacing w:after="94" w:line="240" w:lineRule="auto"/>
        <w:jc w:val="center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b/>
          <w:bCs/>
          <w:color w:val="222222"/>
          <w:sz w:val="13"/>
          <w:lang w:eastAsia="ru-RU"/>
        </w:rPr>
        <w:t>ПОСТАНОВЛЕНИЕ</w:t>
      </w:r>
    </w:p>
    <w:p w:rsidR="00A81FF6" w:rsidRPr="00A81FF6" w:rsidRDefault="00A81FF6" w:rsidP="00A81FF6">
      <w:pPr>
        <w:spacing w:after="94" w:line="240" w:lineRule="auto"/>
        <w:jc w:val="center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b/>
          <w:bCs/>
          <w:color w:val="222222"/>
          <w:sz w:val="13"/>
          <w:lang w:eastAsia="ru-RU"/>
        </w:rPr>
        <w:t>от 30 июня 2020 года № 16</w:t>
      </w:r>
    </w:p>
    <w:p w:rsidR="00A81FF6" w:rsidRPr="00A81FF6" w:rsidRDefault="00A81FF6" w:rsidP="00A81FF6">
      <w:pPr>
        <w:spacing w:after="94" w:line="240" w:lineRule="auto"/>
        <w:jc w:val="center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b/>
          <w:bCs/>
          <w:color w:val="222222"/>
          <w:sz w:val="13"/>
          <w:lang w:eastAsia="ru-RU"/>
        </w:rPr>
        <w:t>Об утверждении санитарн</w:t>
      </w:r>
      <w:proofErr w:type="gramStart"/>
      <w:r w:rsidRPr="00A81FF6">
        <w:rPr>
          <w:rFonts w:ascii="Arial" w:eastAsia="Times New Roman" w:hAnsi="Arial" w:cs="Arial"/>
          <w:b/>
          <w:bCs/>
          <w:color w:val="222222"/>
          <w:sz w:val="13"/>
          <w:lang w:eastAsia="ru-RU"/>
        </w:rPr>
        <w:t>о-</w:t>
      </w:r>
      <w:proofErr w:type="gramEnd"/>
      <w:r w:rsidRPr="00A81FF6">
        <w:rPr>
          <w:rFonts w:ascii="Arial" w:eastAsia="Times New Roman" w:hAnsi="Arial" w:cs="Arial"/>
          <w:b/>
          <w:bCs/>
          <w:color w:val="222222"/>
          <w:sz w:val="13"/>
          <w:lang w:eastAsia="ru-RU"/>
        </w:rPr>
        <w:t xml:space="preserve"> 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81FF6">
        <w:rPr>
          <w:rFonts w:ascii="Arial" w:eastAsia="Times New Roman" w:hAnsi="Arial" w:cs="Arial"/>
          <w:b/>
          <w:bCs/>
          <w:color w:val="222222"/>
          <w:sz w:val="13"/>
          <w:lang w:eastAsia="ru-RU"/>
        </w:rPr>
        <w:t>коронавирусной</w:t>
      </w:r>
      <w:proofErr w:type="spellEnd"/>
      <w:r w:rsidRPr="00A81FF6">
        <w:rPr>
          <w:rFonts w:ascii="Arial" w:eastAsia="Times New Roman" w:hAnsi="Arial" w:cs="Arial"/>
          <w:b/>
          <w:bCs/>
          <w:color w:val="222222"/>
          <w:sz w:val="13"/>
          <w:lang w:eastAsia="ru-RU"/>
        </w:rPr>
        <w:t xml:space="preserve"> инфекции (COVID-19)"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proofErr w:type="gramStart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В соответствии со </w:t>
      </w:r>
      <w:hyperlink r:id="rId4" w:anchor="/document/99/901729631/XA00M9Q2NI/" w:tooltip="" w:history="1">
        <w:r w:rsidRPr="00A81FF6">
          <w:rPr>
            <w:rFonts w:ascii="Arial" w:eastAsia="Times New Roman" w:hAnsi="Arial" w:cs="Arial"/>
            <w:color w:val="01745C"/>
            <w:sz w:val="13"/>
            <w:lang w:eastAsia="ru-RU"/>
          </w:rPr>
          <w:t>статьей 39</w:t>
        </w:r>
      </w:hyperlink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 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2019, № 30, ст. 4134) и </w:t>
      </w:r>
      <w:hyperlink r:id="rId5" w:anchor="/document/99/901765645/" w:tooltip="" w:history="1">
        <w:r w:rsidRPr="00A81FF6">
          <w:rPr>
            <w:rFonts w:ascii="Arial" w:eastAsia="Times New Roman" w:hAnsi="Arial" w:cs="Arial"/>
            <w:color w:val="01745C"/>
            <w:sz w:val="13"/>
            <w:lang w:eastAsia="ru-RU"/>
          </w:rPr>
          <w:t>постановлением Правительства Российской Федерации от 24.07.2000 № 554</w:t>
        </w:r>
      </w:hyperlink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 «Об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нормировании» (Собрание законодательства Российской Федерации, 2000, № 31, ст. 3295;</w:t>
      </w:r>
      <w:proofErr w:type="gramEnd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</w:t>
      </w:r>
      <w:proofErr w:type="gramStart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2005, № 39, ст. 3953) постановляю:</w:t>
      </w:r>
      <w:proofErr w:type="gramEnd"/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1. Утвердить санитарно-эпидемиологические правила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коронавирусной</w:t>
      </w:r>
      <w:proofErr w:type="spellEnd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инфекции (COVID-19)» (приложение).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2. Ввести в действие санитарно-эпидемиологические правила СП 3.1/2.4 3598-20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коронавирусной</w:t>
      </w:r>
      <w:proofErr w:type="spellEnd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инфекции (COVID-19)» со дня официального опубликования.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3. Настоящее постановление действует до 1 января 2021 года.</w:t>
      </w:r>
    </w:p>
    <w:p w:rsidR="00A81FF6" w:rsidRPr="00A81FF6" w:rsidRDefault="00A81FF6" w:rsidP="00A81FF6">
      <w:pPr>
        <w:spacing w:after="94" w:line="240" w:lineRule="auto"/>
        <w:jc w:val="right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А.Ю. Попова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Зарегистрировано</w:t>
      </w: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br/>
        <w:t>в Министерстве юстиции</w:t>
      </w: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br/>
        <w:t>Российской Федерации</w:t>
      </w: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br/>
        <w:t>3 июля 2020 года</w:t>
      </w: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br/>
      </w:r>
      <w:proofErr w:type="gramStart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регистрационный</w:t>
      </w:r>
      <w:proofErr w:type="gramEnd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№ 58824</w:t>
      </w:r>
    </w:p>
    <w:p w:rsidR="00A81FF6" w:rsidRPr="00A81FF6" w:rsidRDefault="00A81FF6" w:rsidP="00A81FF6">
      <w:pPr>
        <w:spacing w:after="94" w:line="240" w:lineRule="auto"/>
        <w:jc w:val="right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Приложение</w:t>
      </w:r>
    </w:p>
    <w:p w:rsidR="00A81FF6" w:rsidRPr="00A81FF6" w:rsidRDefault="00A81FF6" w:rsidP="00A81FF6">
      <w:pPr>
        <w:spacing w:after="94" w:line="240" w:lineRule="auto"/>
        <w:jc w:val="right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proofErr w:type="gramStart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УТВЕРЖДЕНЫ</w:t>
      </w: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br/>
        <w:t>постановлением Главного государственного</w:t>
      </w: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br/>
        <w:t>санитарного врача Российской Федерации</w:t>
      </w: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br/>
        <w:t>от 30 июня 2020 года № 16</w:t>
      </w:r>
      <w:proofErr w:type="gramEnd"/>
    </w:p>
    <w:p w:rsidR="00A81FF6" w:rsidRPr="00A81FF6" w:rsidRDefault="00A81FF6" w:rsidP="00A81FF6">
      <w:pPr>
        <w:spacing w:after="140" w:line="240" w:lineRule="auto"/>
        <w:rPr>
          <w:rFonts w:ascii="Arial" w:eastAsia="Times New Roman" w:hAnsi="Arial" w:cs="Arial"/>
          <w:b/>
          <w:bCs/>
          <w:color w:val="222222"/>
          <w:sz w:val="17"/>
          <w:szCs w:val="17"/>
          <w:lang w:eastAsia="ru-RU"/>
        </w:rPr>
      </w:pPr>
      <w:r w:rsidRPr="00A81FF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 xml:space="preserve">Санитарно-эпидемиологические правила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81FF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>коронавирусной</w:t>
      </w:r>
      <w:proofErr w:type="spellEnd"/>
      <w:r w:rsidRPr="00A81FF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 xml:space="preserve"> инфекции (COVID-19)»</w:t>
      </w:r>
    </w:p>
    <w:p w:rsidR="00A81FF6" w:rsidRPr="00A81FF6" w:rsidRDefault="00A81FF6" w:rsidP="00A81FF6">
      <w:pPr>
        <w:spacing w:after="140" w:line="240" w:lineRule="auto"/>
        <w:rPr>
          <w:rFonts w:ascii="Arial" w:eastAsia="Times New Roman" w:hAnsi="Arial" w:cs="Arial"/>
          <w:b/>
          <w:bCs/>
          <w:color w:val="222222"/>
          <w:sz w:val="17"/>
          <w:szCs w:val="17"/>
          <w:lang w:eastAsia="ru-RU"/>
        </w:rPr>
      </w:pPr>
      <w:r w:rsidRPr="00A81FF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>I. Общие положения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1.1. Настоящие санитарно-эпидемиологические правила (далее </w:t>
      </w:r>
      <w:proofErr w:type="gramStart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-с</w:t>
      </w:r>
      <w:proofErr w:type="gramEnd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</w:t>
      </w:r>
      <w:proofErr w:type="spellStart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культурно-досуговых</w:t>
      </w:r>
      <w:proofErr w:type="spellEnd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  <w:proofErr w:type="gramStart"/>
      <w:r w:rsidRPr="00A81FF6">
        <w:rPr>
          <w:rFonts w:ascii="Arial" w:eastAsia="Times New Roman" w:hAnsi="Arial" w:cs="Arial"/>
          <w:color w:val="222222"/>
          <w:sz w:val="10"/>
          <w:szCs w:val="10"/>
          <w:vertAlign w:val="superscript"/>
          <w:lang w:eastAsia="ru-RU"/>
        </w:rPr>
        <w:t>1</w:t>
      </w:r>
      <w:proofErr w:type="gramEnd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 (далее - Организации).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____________________________</w:t>
      </w: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br/>
      </w:r>
      <w:r w:rsidRPr="00A81FF6">
        <w:rPr>
          <w:rFonts w:ascii="Arial" w:eastAsia="Times New Roman" w:hAnsi="Arial" w:cs="Arial"/>
          <w:color w:val="222222"/>
          <w:sz w:val="10"/>
          <w:szCs w:val="10"/>
          <w:vertAlign w:val="superscript"/>
          <w:lang w:eastAsia="ru-RU"/>
        </w:rPr>
        <w:t>1</w:t>
      </w: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 </w:t>
      </w:r>
      <w:hyperlink r:id="rId6" w:anchor="/document/99/420237592/" w:tooltip="" w:history="1">
        <w:r w:rsidRPr="00A81FF6">
          <w:rPr>
            <w:rFonts w:ascii="Arial" w:eastAsia="Times New Roman" w:hAnsi="Arial" w:cs="Arial"/>
            <w:color w:val="01745C"/>
            <w:sz w:val="13"/>
            <w:lang w:eastAsia="ru-RU"/>
          </w:rPr>
          <w:t>Распоряжение Правительства Российской Федерации от 29.11.2014 № 2403-р</w:t>
        </w:r>
      </w:hyperlink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 «Об утверждении Основ государственной молодежной политики Российской Федерации на период до 2025 года» (Собрание законодательства Российской Федерации, 2014, № 50, ст. 7185).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1.2. Санитарные правила устанавливают санитарно-эпидемиологические требования к особому режиму работы Организаций в условиях распространения новой </w:t>
      </w:r>
      <w:proofErr w:type="spellStart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коронавирусной</w:t>
      </w:r>
      <w:proofErr w:type="spellEnd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инфекции (далее - COVID-19).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1.3. В условиях распространения COVID-19 санитарные правила 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1.4. Организации не </w:t>
      </w:r>
      <w:proofErr w:type="gramStart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позднее</w:t>
      </w:r>
      <w:proofErr w:type="gramEnd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A81FF6" w:rsidRPr="00A81FF6" w:rsidRDefault="00A81FF6" w:rsidP="00A81FF6">
      <w:pPr>
        <w:spacing w:after="140" w:line="240" w:lineRule="auto"/>
        <w:rPr>
          <w:rFonts w:ascii="Arial" w:eastAsia="Times New Roman" w:hAnsi="Arial" w:cs="Arial"/>
          <w:b/>
          <w:bCs/>
          <w:color w:val="222222"/>
          <w:sz w:val="17"/>
          <w:szCs w:val="17"/>
          <w:lang w:eastAsia="ru-RU"/>
        </w:rPr>
      </w:pPr>
      <w:r w:rsidRPr="00A81FF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>II. Общие санитарно-эпидемиологические требования, направленные на предупреждение распространения COVID-19 в Организациях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2.1. Запрещается проведение массовых мероприятий с участием различных групп лиц (групповых ячеек</w:t>
      </w:r>
      <w:proofErr w:type="gramStart"/>
      <w:r w:rsidRPr="00A81FF6">
        <w:rPr>
          <w:rFonts w:ascii="Arial" w:eastAsia="Times New Roman" w:hAnsi="Arial" w:cs="Arial"/>
          <w:color w:val="222222"/>
          <w:sz w:val="10"/>
          <w:szCs w:val="10"/>
          <w:vertAlign w:val="superscript"/>
          <w:lang w:eastAsia="ru-RU"/>
        </w:rPr>
        <w:t>2</w:t>
      </w:r>
      <w:proofErr w:type="gramEnd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, классов, отрядов и иных), а также массовых мероприятий с привлечением лиц из иных организаций.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proofErr w:type="gramStart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____________________________</w:t>
      </w: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br/>
      </w:r>
      <w:r w:rsidRPr="00A81FF6">
        <w:rPr>
          <w:rFonts w:ascii="Arial" w:eastAsia="Times New Roman" w:hAnsi="Arial" w:cs="Arial"/>
          <w:color w:val="222222"/>
          <w:sz w:val="10"/>
          <w:szCs w:val="10"/>
          <w:vertAlign w:val="superscript"/>
          <w:lang w:eastAsia="ru-RU"/>
        </w:rPr>
        <w:t>2</w:t>
      </w: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 </w:t>
      </w:r>
      <w:hyperlink r:id="rId7" w:anchor="/document/99/499023522/" w:tooltip="" w:history="1">
        <w:r w:rsidRPr="00A81FF6">
          <w:rPr>
            <w:rFonts w:ascii="Arial" w:eastAsia="Times New Roman" w:hAnsi="Arial" w:cs="Arial"/>
            <w:color w:val="01745C"/>
            <w:sz w:val="13"/>
            <w:lang w:eastAsia="ru-RU"/>
          </w:rPr>
          <w:t>Постановление Главного государственного санитарного врача Российской Федерации от 15.05.2013 № 26</w:t>
        </w:r>
      </w:hyperlink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 «Об утверждении </w:t>
      </w:r>
      <w:proofErr w:type="spellStart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СанПиН</w:t>
      </w:r>
      <w:proofErr w:type="spellEnd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Минюстом России 29.05.2013, регистрационный № 28564), с изменениями, внесенными </w:t>
      </w:r>
      <w:hyperlink r:id="rId8" w:anchor="/document/99/420292122/" w:tooltip="" w:history="1">
        <w:r w:rsidRPr="00A81FF6">
          <w:rPr>
            <w:rFonts w:ascii="Arial" w:eastAsia="Times New Roman" w:hAnsi="Arial" w:cs="Arial"/>
            <w:color w:val="01745C"/>
            <w:sz w:val="13"/>
            <w:lang w:eastAsia="ru-RU"/>
          </w:rPr>
          <w:t>постановлениями Главного государственного санитарного врача Российской Федерации от 20.07.2015 № 28</w:t>
        </w:r>
      </w:hyperlink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 «О внесении изменений в </w:t>
      </w:r>
      <w:proofErr w:type="spellStart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СанПиН</w:t>
      </w:r>
      <w:proofErr w:type="spellEnd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2.4.1.3049-13 «Санитарно-эпидемиологические требования к устройству, содержанию и</w:t>
      </w:r>
      <w:proofErr w:type="gramEnd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организации режима работы дошкольных образовательных организаций» (зарегистрировано Минюстом России 03.08.2015, </w:t>
      </w:r>
      <w:proofErr w:type="gramStart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регистрационный</w:t>
      </w:r>
      <w:proofErr w:type="gramEnd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№ 38312), </w:t>
      </w:r>
      <w:hyperlink r:id="rId9" w:anchor="/document/99/420300289/" w:tooltip="" w:history="1">
        <w:r w:rsidRPr="00A81FF6">
          <w:rPr>
            <w:rFonts w:ascii="Arial" w:eastAsia="Times New Roman" w:hAnsi="Arial" w:cs="Arial"/>
            <w:color w:val="01745C"/>
            <w:sz w:val="13"/>
            <w:lang w:eastAsia="ru-RU"/>
          </w:rPr>
          <w:t>от 27.08.2015 № 41</w:t>
        </w:r>
      </w:hyperlink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 «О внесении изменений в </w:t>
      </w:r>
      <w:proofErr w:type="spellStart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СанПиН</w:t>
      </w:r>
      <w:proofErr w:type="spellEnd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2.4.1.3049-13 «Санитарно-эпидемиологические требования к устройству, содержанию и организации режима работы дошкольных образовательных организаций» (зарегистрировано Минюстом России 04.09.2015, регистрационный № 38824).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lastRenderedPageBreak/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</w:t>
      </w:r>
      <w:proofErr w:type="gramStart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°С</w:t>
      </w:r>
      <w:proofErr w:type="gramEnd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и выше в целях учета при проведении противоэпидемических мероприятий.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При круглосуточном режиме работы Организации термометрия проводится не менее двух раз в сутки (утром и вечером).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 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С момента выявления указанных лиц Организация в течение 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2.3. В Организации должны проводиться противоэпидемические мероприятия, включающие: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ежедневную влажную уборку помещений с применением дезинфицирующих средств с обработкой всех контактных поверхностей; генеральную уборку не реже одного раза в неделю; 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2.7. </w:t>
      </w:r>
      <w:proofErr w:type="gramStart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главе III санитарных правил.</w:t>
      </w:r>
      <w:proofErr w:type="gramEnd"/>
    </w:p>
    <w:p w:rsidR="00A81FF6" w:rsidRPr="00A81FF6" w:rsidRDefault="00A81FF6" w:rsidP="00A81FF6">
      <w:pPr>
        <w:spacing w:after="140" w:line="240" w:lineRule="auto"/>
        <w:rPr>
          <w:rFonts w:ascii="Arial" w:eastAsia="Times New Roman" w:hAnsi="Arial" w:cs="Arial"/>
          <w:b/>
          <w:bCs/>
          <w:color w:val="222222"/>
          <w:sz w:val="17"/>
          <w:szCs w:val="17"/>
          <w:lang w:eastAsia="ru-RU"/>
        </w:rPr>
      </w:pPr>
      <w:r w:rsidRPr="00A81FF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>III. Дополнительные санитарно-эпидемиологические требования, направленные на предупреждение распространения COVID-19 в отдельных Организациях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3.1. В дошкольной образовательной организации должна 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При проведении итоговой и промежуточной аттестации общеобразовательной организацией должны быть обеспечены: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соблюдение в местах проведения аттестации социальной дистанции между </w:t>
      </w:r>
      <w:proofErr w:type="gramStart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обучающимися</w:t>
      </w:r>
      <w:proofErr w:type="gramEnd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не менее 1,5 метров посредством зигзагообразной рассадки по 1 человеку за партой;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</w:t>
      </w:r>
      <w:proofErr w:type="gramStart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-в</w:t>
      </w:r>
      <w:proofErr w:type="gramEnd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соответствии с инструкцией по их применению.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Количество детей в группах, отрядах (наполняемость) должно быть не более 50 % от проектной вместимости.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Не допускается организация отдыха детей в детских лагерях палаточного типа.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Перед открытием каждой смены должна проводиться генеральная уборка.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</w:t>
      </w:r>
      <w:proofErr w:type="gramStart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Российской</w:t>
      </w:r>
      <w:proofErr w:type="gramEnd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Федерации</w:t>
      </w:r>
      <w:r w:rsidRPr="00A81FF6">
        <w:rPr>
          <w:rFonts w:ascii="Arial" w:eastAsia="Times New Roman" w:hAnsi="Arial" w:cs="Arial"/>
          <w:color w:val="222222"/>
          <w:sz w:val="10"/>
          <w:szCs w:val="10"/>
          <w:vertAlign w:val="superscript"/>
          <w:lang w:eastAsia="ru-RU"/>
        </w:rPr>
        <w:t>3</w:t>
      </w: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____________________________</w:t>
      </w: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br/>
      </w:r>
      <w:r w:rsidRPr="00A81FF6">
        <w:rPr>
          <w:rFonts w:ascii="Arial" w:eastAsia="Times New Roman" w:hAnsi="Arial" w:cs="Arial"/>
          <w:color w:val="222222"/>
          <w:sz w:val="10"/>
          <w:szCs w:val="10"/>
          <w:vertAlign w:val="superscript"/>
          <w:lang w:eastAsia="ru-RU"/>
        </w:rPr>
        <w:t>3</w:t>
      </w: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 </w:t>
      </w:r>
      <w:hyperlink r:id="rId10" w:anchor="/document/99/901729631/XA00MDE2N6/" w:tooltip="" w:history="1">
        <w:r w:rsidRPr="00A81FF6">
          <w:rPr>
            <w:rFonts w:ascii="Arial" w:eastAsia="Times New Roman" w:hAnsi="Arial" w:cs="Arial"/>
            <w:color w:val="01745C"/>
            <w:sz w:val="13"/>
            <w:lang w:eastAsia="ru-RU"/>
          </w:rPr>
          <w:t>Статья 51</w:t>
        </w:r>
      </w:hyperlink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 Федерального закона от 30.03.1999 № 52-ФЗ «О санитарно-эпидемиологическом благополучии населения».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lastRenderedPageBreak/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использование водителем при посадке и в пути следования 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форма № 079/у)</w:t>
      </w:r>
      <w:r w:rsidRPr="00A81FF6">
        <w:rPr>
          <w:rFonts w:ascii="Arial" w:eastAsia="Times New Roman" w:hAnsi="Arial" w:cs="Arial"/>
          <w:color w:val="222222"/>
          <w:sz w:val="10"/>
          <w:szCs w:val="10"/>
          <w:vertAlign w:val="superscript"/>
          <w:lang w:eastAsia="ru-RU"/>
        </w:rPr>
        <w:t>4</w:t>
      </w: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proofErr w:type="gramStart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____________________________</w:t>
      </w: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br/>
      </w:r>
      <w:r w:rsidRPr="00A81FF6">
        <w:rPr>
          <w:rFonts w:ascii="Arial" w:eastAsia="Times New Roman" w:hAnsi="Arial" w:cs="Arial"/>
          <w:color w:val="222222"/>
          <w:sz w:val="10"/>
          <w:szCs w:val="10"/>
          <w:vertAlign w:val="superscript"/>
          <w:lang w:eastAsia="ru-RU"/>
        </w:rPr>
        <w:t>4</w:t>
      </w: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 </w:t>
      </w:r>
      <w:hyperlink r:id="rId11" w:anchor="/document/99/420245402/ZA00MDI2N8/" w:tooltip="Приложение 17. Форма N 079/у" w:history="1">
        <w:r w:rsidRPr="00A81FF6">
          <w:rPr>
            <w:rFonts w:ascii="Arial" w:eastAsia="Times New Roman" w:hAnsi="Arial" w:cs="Arial"/>
            <w:color w:val="01745C"/>
            <w:sz w:val="13"/>
            <w:lang w:eastAsia="ru-RU"/>
          </w:rPr>
          <w:t>Приложение № 17</w:t>
        </w:r>
      </w:hyperlink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 к приказу Министерства здравоохранения Российской Федерации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(зарегистрирован Минюстом России 20.02.2015, регистрационный № 36160), с изменениями, внесенными </w:t>
      </w:r>
      <w:hyperlink r:id="rId12" w:anchor="/document/99/542620432/" w:tooltip="" w:history="1">
        <w:r w:rsidRPr="00A81FF6">
          <w:rPr>
            <w:rFonts w:ascii="Arial" w:eastAsia="Times New Roman" w:hAnsi="Arial" w:cs="Arial"/>
            <w:color w:val="01745C"/>
            <w:sz w:val="13"/>
            <w:lang w:eastAsia="ru-RU"/>
          </w:rPr>
          <w:t>приказом Министерства здравоохранения Российской Федерации от 09.01.2018 № 2н</w:t>
        </w:r>
      </w:hyperlink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 «О внесении изменений в приказ Министерства здравоохранения Российской Федерации от 15</w:t>
      </w:r>
      <w:proofErr w:type="gramEnd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декабря 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(зарегистрирован Минюстом России 04.04.2018, регистрационный № 50614).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Расстановка кроватей в спальных помещениях для детей и сотрудников должна осуществляться с соблюдением социальной дистанции 1,5 м.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Запрещается проведение массовых мероприятий в закрытых 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3.6. Абзацы второй и пятый пункта 3.3, абзацы первый и третий пункта 3.5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Запрещается посещение социальной организации для детей лицами, не связанными с ее деятельностью.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3.8. Организатор игровой комнаты обеспечивает: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ограничение пределов игровой комнаты (в случае ее устройства в виде специально выделенного места);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проведение термометрии лиц, входящих в игровую комнату (при этом лица с температурой тела 37,1</w:t>
      </w:r>
      <w:proofErr w:type="gramStart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°С</w:t>
      </w:r>
      <w:proofErr w:type="gramEnd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и выше, а также с признаками инфекционных заболеваний (респираторными) в игровую комнату не допускаются);</w:t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A81FF6" w:rsidRPr="00A81FF6" w:rsidRDefault="00A81FF6" w:rsidP="00A81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br/>
      </w:r>
    </w:p>
    <w:p w:rsidR="00A81FF6" w:rsidRPr="00A81FF6" w:rsidRDefault="00A81FF6" w:rsidP="00A81FF6">
      <w:pPr>
        <w:spacing w:after="94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br/>
        <w:t>Постановление Главного государственного санитарного врача России от 30.06.2020 №№ 16, СП 3.1/2.4 3598-20</w:t>
      </w: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br/>
        <w:t>Об утверждении санитарн</w:t>
      </w:r>
      <w:proofErr w:type="gramStart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о-</w:t>
      </w:r>
      <w:proofErr w:type="gramEnd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>коронавирусной</w:t>
      </w:r>
      <w:proofErr w:type="spellEnd"/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t xml:space="preserve"> инфекции (COVID-19)"</w:t>
      </w: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br/>
        <w:t>© Материал из Справочной системы «Образование».</w:t>
      </w:r>
      <w:r w:rsidRPr="00A81FF6">
        <w:rPr>
          <w:rFonts w:ascii="Arial" w:eastAsia="Times New Roman" w:hAnsi="Arial" w:cs="Arial"/>
          <w:color w:val="222222"/>
          <w:sz w:val="13"/>
          <w:szCs w:val="13"/>
          <w:lang w:eastAsia="ru-RU"/>
        </w:rPr>
        <w:br/>
        <w:t>Подробнее: </w:t>
      </w:r>
      <w:hyperlink r:id="rId13" w:anchor="/document/97/480337/dfaslglmt3/?of=copy-aa44b449ca" w:history="1">
        <w:r w:rsidRPr="00A81FF6">
          <w:rPr>
            <w:rFonts w:ascii="Arial" w:eastAsia="Times New Roman" w:hAnsi="Arial" w:cs="Arial"/>
            <w:color w:val="0047B3"/>
            <w:sz w:val="13"/>
            <w:lang w:eastAsia="ru-RU"/>
          </w:rPr>
          <w:t>https://vip.1obraz.ru/#/document/97/480337/dfaslglmt3/?of=copy-aa44b449ca</w:t>
        </w:r>
      </w:hyperlink>
    </w:p>
    <w:p w:rsidR="00A13836" w:rsidRDefault="00847A98"/>
    <w:sectPr w:rsidR="00A13836" w:rsidSect="0011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81FF6"/>
    <w:rsid w:val="00082D30"/>
    <w:rsid w:val="001157BD"/>
    <w:rsid w:val="00847A98"/>
    <w:rsid w:val="00A81FF6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BD"/>
  </w:style>
  <w:style w:type="paragraph" w:styleId="1">
    <w:name w:val="heading 1"/>
    <w:basedOn w:val="a"/>
    <w:link w:val="10"/>
    <w:uiPriority w:val="9"/>
    <w:qFormat/>
    <w:rsid w:val="00A81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1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F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1F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textviewtypehighlight">
    <w:name w:val="doc__text_viewtype_highlight"/>
    <w:basedOn w:val="a0"/>
    <w:rsid w:val="00A81FF6"/>
  </w:style>
  <w:style w:type="paragraph" w:styleId="a3">
    <w:name w:val="Normal (Web)"/>
    <w:basedOn w:val="a"/>
    <w:uiPriority w:val="99"/>
    <w:semiHidden/>
    <w:unhideWhenUsed/>
    <w:rsid w:val="00A8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1FF6"/>
    <w:rPr>
      <w:b/>
      <w:bCs/>
    </w:rPr>
  </w:style>
  <w:style w:type="character" w:styleId="a5">
    <w:name w:val="Hyperlink"/>
    <w:basedOn w:val="a0"/>
    <w:uiPriority w:val="99"/>
    <w:semiHidden/>
    <w:unhideWhenUsed/>
    <w:rsid w:val="00A81FF6"/>
    <w:rPr>
      <w:color w:val="0000FF"/>
      <w:u w:val="single"/>
    </w:rPr>
  </w:style>
  <w:style w:type="character" w:customStyle="1" w:styleId="docuntyped-name">
    <w:name w:val="doc__untyped-name"/>
    <w:basedOn w:val="a0"/>
    <w:rsid w:val="00A81FF6"/>
  </w:style>
  <w:style w:type="paragraph" w:customStyle="1" w:styleId="copyright-info">
    <w:name w:val="copyright-info"/>
    <w:basedOn w:val="a"/>
    <w:rsid w:val="00A8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1312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single" w:sz="4" w:space="16" w:color="CCCCCC"/>
            <w:right w:val="none" w:sz="0" w:space="0" w:color="auto"/>
          </w:divBdr>
        </w:div>
        <w:div w:id="21252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9514">
              <w:marLeft w:val="0"/>
              <w:marRight w:val="0"/>
              <w:marTop w:val="234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3512">
              <w:marLeft w:val="0"/>
              <w:marRight w:val="0"/>
              <w:marTop w:val="234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9134">
              <w:marLeft w:val="0"/>
              <w:marRight w:val="0"/>
              <w:marTop w:val="234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8837">
              <w:marLeft w:val="0"/>
              <w:marRight w:val="0"/>
              <w:marTop w:val="234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?utm_source=letterdemo&amp;utm_medium=letter&amp;utm_campaign=letterdemo_eso_activedemo_08072020%2f&amp;btx=9218316&amp;mailsys=ss&amp;token=221bbdea-bcaa-11a0-bf72-2d01c7965612&amp;ttl=7776000&amp;ustp=F" TargetMode="External"/><Relationship Id="rId13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?utm_source=letterdemo&amp;utm_medium=letter&amp;utm_campaign=letterdemo_eso_activedemo_08072020%2f&amp;btx=9218316&amp;mailsys=ss&amp;token=221bbdea-bcaa-11a0-bf72-2d01c7965612&amp;ttl=7776000&amp;ustp=F" TargetMode="External"/><Relationship Id="rId12" Type="http://schemas.openxmlformats.org/officeDocument/2006/relationships/hyperlink" Target="https://vip.1obraz.ru/?utm_source=letterdemo&amp;utm_medium=letter&amp;utm_campaign=letterdemo_eso_activedemo_08072020%2f&amp;btx=9218316&amp;mailsys=ss&amp;token=221bbdea-bcaa-11a0-bf72-2d01c7965612&amp;ttl=7776000&amp;ustp=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?utm_source=letterdemo&amp;utm_medium=letter&amp;utm_campaign=letterdemo_eso_activedemo_08072020%2f&amp;btx=9218316&amp;mailsys=ss&amp;token=221bbdea-bcaa-11a0-bf72-2d01c7965612&amp;ttl=7776000&amp;ustp=F" TargetMode="External"/><Relationship Id="rId11" Type="http://schemas.openxmlformats.org/officeDocument/2006/relationships/hyperlink" Target="https://vip.1obraz.ru/?utm_source=letterdemo&amp;utm_medium=letter&amp;utm_campaign=letterdemo_eso_activedemo_08072020%2f&amp;btx=9218316&amp;mailsys=ss&amp;token=221bbdea-bcaa-11a0-bf72-2d01c7965612&amp;ttl=7776000&amp;ustp=F" TargetMode="External"/><Relationship Id="rId5" Type="http://schemas.openxmlformats.org/officeDocument/2006/relationships/hyperlink" Target="https://vip.1obraz.ru/?utm_source=letterdemo&amp;utm_medium=letter&amp;utm_campaign=letterdemo_eso_activedemo_08072020%2f&amp;btx=9218316&amp;mailsys=ss&amp;token=221bbdea-bcaa-11a0-bf72-2d01c7965612&amp;ttl=7776000&amp;ustp=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p.1obraz.ru/?utm_source=letterdemo&amp;utm_medium=letter&amp;utm_campaign=letterdemo_eso_activedemo_08072020%2f&amp;btx=9218316&amp;mailsys=ss&amp;token=221bbdea-bcaa-11a0-bf72-2d01c7965612&amp;ttl=7776000&amp;ustp=F" TargetMode="External"/><Relationship Id="rId4" Type="http://schemas.openxmlformats.org/officeDocument/2006/relationships/hyperlink" Target="https://vip.1obraz.ru/?utm_source=letterdemo&amp;utm_medium=letter&amp;utm_campaign=letterdemo_eso_activedemo_08072020%2f&amp;btx=9218316&amp;mailsys=ss&amp;token=221bbdea-bcaa-11a0-bf72-2d01c7965612&amp;ttl=7776000&amp;ustp=F" TargetMode="External"/><Relationship Id="rId9" Type="http://schemas.openxmlformats.org/officeDocument/2006/relationships/hyperlink" Target="https://vip.1obraz.ru/?utm_source=letterdemo&amp;utm_medium=letter&amp;utm_campaign=letterdemo_eso_activedemo_08072020%2f&amp;btx=9218316&amp;mailsys=ss&amp;token=221bbdea-bcaa-11a0-bf72-2d01c7965612&amp;ttl=7776000&amp;ustp=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3260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1</cp:revision>
  <dcterms:created xsi:type="dcterms:W3CDTF">2020-07-09T06:08:00Z</dcterms:created>
  <dcterms:modified xsi:type="dcterms:W3CDTF">2020-07-09T08:56:00Z</dcterms:modified>
</cp:coreProperties>
</file>